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4A6AF3" w:rsidRDefault="00F94A95" w:rsidP="004E2243">
      <w:pPr>
        <w:tabs>
          <w:tab w:val="left" w:pos="4395"/>
        </w:tabs>
        <w:contextualSpacing/>
        <w:rPr>
          <w:rFonts w:asciiTheme="minorHAnsi" w:hAnsiTheme="minorHAnsi" w:cstheme="minorHAnsi"/>
          <w:sz w:val="22"/>
          <w:szCs w:val="22"/>
        </w:rPr>
      </w:pPr>
    </w:p>
    <w:p w:rsidR="00031C5A" w:rsidRPr="000D2E92" w:rsidRDefault="00031C5A" w:rsidP="000D2E92">
      <w:pPr>
        <w:ind w:left="4536"/>
        <w:contextualSpacing/>
        <w:rPr>
          <w:rFonts w:asciiTheme="minorHAnsi" w:eastAsia="Calibri" w:hAnsiTheme="minorHAnsi" w:cstheme="minorHAnsi"/>
          <w:b/>
          <w:lang w:eastAsia="en-US"/>
        </w:rPr>
      </w:pPr>
      <w:r w:rsidRPr="000D2E92">
        <w:rPr>
          <w:rFonts w:asciiTheme="minorHAnsi" w:eastAsia="Calibri" w:hAnsiTheme="minorHAnsi" w:cstheme="minorHAnsi"/>
          <w:b/>
          <w:lang w:eastAsia="en-US"/>
        </w:rPr>
        <w:t>Pan</w:t>
      </w:r>
      <w:r w:rsidR="000A40A5">
        <w:rPr>
          <w:rFonts w:asciiTheme="minorHAnsi" w:eastAsia="Calibri" w:hAnsiTheme="minorHAnsi" w:cstheme="minorHAnsi"/>
          <w:b/>
          <w:lang w:eastAsia="en-US"/>
        </w:rPr>
        <w:t>i</w:t>
      </w:r>
    </w:p>
    <w:p w:rsidR="00031C5A" w:rsidRPr="000D2E92" w:rsidRDefault="000A40A5" w:rsidP="000D2E92">
      <w:pPr>
        <w:ind w:left="4536"/>
        <w:contextualSpacing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Wioletta Zwara</w:t>
      </w:r>
    </w:p>
    <w:p w:rsidR="00031C5A" w:rsidRPr="000D2E92" w:rsidRDefault="00031C5A" w:rsidP="000D2E92">
      <w:pPr>
        <w:ind w:left="4536"/>
        <w:contextualSpacing/>
        <w:rPr>
          <w:rFonts w:asciiTheme="minorHAnsi" w:eastAsia="Calibri" w:hAnsiTheme="minorHAnsi" w:cstheme="minorHAnsi"/>
          <w:b/>
          <w:lang w:eastAsia="en-US"/>
        </w:rPr>
      </w:pPr>
      <w:r w:rsidRPr="000D2E92">
        <w:rPr>
          <w:rFonts w:asciiTheme="minorHAnsi" w:eastAsia="Calibri" w:hAnsiTheme="minorHAnsi" w:cstheme="minorHAnsi"/>
          <w:b/>
          <w:lang w:eastAsia="en-US"/>
        </w:rPr>
        <w:t>Sekretarz Komitetu Rady Ministrów</w:t>
      </w:r>
    </w:p>
    <w:p w:rsidR="000A71A0" w:rsidRPr="000D2E92" w:rsidRDefault="00031C5A" w:rsidP="000D2E92">
      <w:pPr>
        <w:ind w:left="4536"/>
        <w:contextualSpacing/>
        <w:rPr>
          <w:rFonts w:asciiTheme="minorHAnsi" w:eastAsia="Calibri" w:hAnsiTheme="minorHAnsi" w:cstheme="minorHAnsi"/>
          <w:b/>
          <w:lang w:eastAsia="en-US"/>
        </w:rPr>
      </w:pPr>
      <w:r w:rsidRPr="000D2E92">
        <w:rPr>
          <w:rFonts w:asciiTheme="minorHAnsi" w:eastAsia="Calibri" w:hAnsiTheme="minorHAnsi" w:cstheme="minorHAnsi"/>
          <w:b/>
          <w:lang w:eastAsia="en-US"/>
        </w:rPr>
        <w:t>do spraw Cyfryzacji</w:t>
      </w:r>
    </w:p>
    <w:p w:rsidR="00031C5A" w:rsidRPr="000D2E92" w:rsidRDefault="008040B4" w:rsidP="000D2E92">
      <w:pPr>
        <w:spacing w:before="600" w:after="12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Szanowna Pani Sekretarz</w:t>
      </w:r>
      <w:r w:rsidR="00031C5A" w:rsidRPr="000D2E92">
        <w:rPr>
          <w:rFonts w:asciiTheme="minorHAnsi" w:hAnsiTheme="minorHAnsi" w:cstheme="minorHAnsi"/>
          <w:i/>
        </w:rPr>
        <w:t>,</w:t>
      </w:r>
    </w:p>
    <w:p w:rsidR="00031C5A" w:rsidRPr="000D2E92" w:rsidRDefault="00031C5A" w:rsidP="004A6AF3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spacing w:val="-6"/>
        </w:rPr>
      </w:pPr>
      <w:r w:rsidRPr="000D2E92">
        <w:rPr>
          <w:rFonts w:asciiTheme="minorHAnsi" w:hAnsiTheme="minorHAnsi" w:cstheme="minorHAnsi"/>
        </w:rPr>
        <w:t xml:space="preserve">nawiązując do </w:t>
      </w:r>
      <w:r w:rsidR="00DF723D" w:rsidRPr="000D2E92">
        <w:rPr>
          <w:rFonts w:asciiTheme="minorHAnsi" w:eastAsia="Calibri" w:hAnsiTheme="minorHAnsi" w:cstheme="minorHAnsi"/>
          <w:bCs/>
          <w:iCs/>
          <w:lang w:eastAsia="en-US"/>
        </w:rPr>
        <w:t xml:space="preserve">projektu </w:t>
      </w:r>
      <w:r w:rsidR="008040B4" w:rsidRPr="008040B4">
        <w:rPr>
          <w:rFonts w:asciiTheme="minorHAnsi" w:eastAsia="Calibri" w:hAnsiTheme="minorHAnsi" w:cstheme="minorHAnsi"/>
          <w:b/>
          <w:bCs/>
          <w:iCs/>
          <w:lang w:eastAsia="en-US"/>
        </w:rPr>
        <w:t>ustawy o zmianie ustawy o cudzoziemcach oraz niektórych innych ustaw (UC87)</w:t>
      </w:r>
      <w:r w:rsidRPr="000D2E92">
        <w:rPr>
          <w:rFonts w:asciiTheme="minorHAnsi" w:hAnsiTheme="minorHAnsi" w:cstheme="minorHAnsi"/>
          <w:bCs/>
          <w:iCs/>
        </w:rPr>
        <w:t>, który został</w:t>
      </w:r>
      <w:r w:rsidRPr="000D2E92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0D2E92">
        <w:rPr>
          <w:rFonts w:asciiTheme="minorHAnsi" w:hAnsiTheme="minorHAnsi" w:cstheme="minorHAnsi"/>
          <w:bCs/>
          <w:iCs/>
        </w:rPr>
        <w:t>przekazany do</w:t>
      </w:r>
      <w:r w:rsidRPr="000D2E92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0D2E92">
        <w:rPr>
          <w:rFonts w:asciiTheme="minorHAnsi" w:hAnsiTheme="minorHAnsi" w:cstheme="minorHAnsi"/>
          <w:bCs/>
          <w:iCs/>
        </w:rPr>
        <w:t xml:space="preserve">rozpatrzenia </w:t>
      </w:r>
      <w:r w:rsidRPr="000D2E92">
        <w:rPr>
          <w:rFonts w:asciiTheme="minorHAnsi" w:hAnsiTheme="minorHAnsi" w:cstheme="minorHAnsi"/>
          <w:bCs/>
          <w:iCs/>
          <w:spacing w:val="-6"/>
        </w:rPr>
        <w:t xml:space="preserve">przez Komitet Rady Ministrów do spraw Cyfryzacji, </w:t>
      </w:r>
      <w:r w:rsidRPr="000D2E92">
        <w:rPr>
          <w:rFonts w:asciiTheme="minorHAnsi" w:hAnsiTheme="minorHAnsi" w:cstheme="minorHAnsi"/>
          <w:spacing w:val="-6"/>
        </w:rPr>
        <w:t>w załączeniu przekazuję tabelę zawierającą</w:t>
      </w:r>
      <w:r w:rsidRPr="000D2E92">
        <w:rPr>
          <w:rFonts w:asciiTheme="minorHAnsi" w:hAnsiTheme="minorHAnsi" w:cstheme="minorHAnsi"/>
        </w:rPr>
        <w:t xml:space="preserve"> </w:t>
      </w:r>
      <w:r w:rsidR="00FC3BEC">
        <w:rPr>
          <w:rFonts w:asciiTheme="minorHAnsi" w:hAnsiTheme="minorHAnsi" w:cstheme="minorHAnsi"/>
          <w:spacing w:val="-6"/>
        </w:rPr>
        <w:t>uwagi</w:t>
      </w:r>
      <w:r w:rsidRPr="000D2E92">
        <w:rPr>
          <w:rFonts w:asciiTheme="minorHAnsi" w:hAnsiTheme="minorHAnsi" w:cstheme="minorHAnsi"/>
          <w:spacing w:val="-6"/>
        </w:rPr>
        <w:t>.</w:t>
      </w:r>
    </w:p>
    <w:p w:rsidR="000A71A0" w:rsidRPr="000D2E92" w:rsidRDefault="00FC48B0" w:rsidP="000D2E92">
      <w:pPr>
        <w:spacing w:before="480" w:after="120"/>
        <w:ind w:left="4536" w:hanging="141"/>
        <w:jc w:val="center"/>
        <w:rPr>
          <w:rFonts w:asciiTheme="minorHAnsi" w:hAnsiTheme="minorHAnsi" w:cstheme="minorHAnsi"/>
          <w:i/>
          <w:iCs/>
        </w:rPr>
      </w:pPr>
      <w:r w:rsidRPr="000D2E92">
        <w:rPr>
          <w:rFonts w:asciiTheme="minorHAnsi" w:hAnsiTheme="minorHAnsi" w:cstheme="minorHAnsi"/>
          <w:i/>
          <w:iCs/>
        </w:rPr>
        <w:t>Z poważaniem</w:t>
      </w:r>
    </w:p>
    <w:p w:rsidR="000A71A0" w:rsidRPr="000D2E92" w:rsidRDefault="00FC48B0" w:rsidP="000D2E92">
      <w:pPr>
        <w:ind w:left="4536" w:hanging="141"/>
        <w:contextualSpacing/>
        <w:jc w:val="center"/>
        <w:rPr>
          <w:rFonts w:asciiTheme="minorHAnsi" w:hAnsiTheme="minorHAnsi" w:cstheme="minorHAnsi"/>
          <w:b/>
          <w:bCs/>
        </w:rPr>
      </w:pPr>
      <w:r w:rsidRPr="000D2E92">
        <w:rPr>
          <w:rFonts w:asciiTheme="minorHAnsi" w:hAnsiTheme="minorHAnsi" w:cstheme="minorHAnsi"/>
          <w:b/>
          <w:bCs/>
        </w:rPr>
        <w:t xml:space="preserve">z up. </w:t>
      </w:r>
      <w:r w:rsidR="00D10B48">
        <w:rPr>
          <w:rFonts w:asciiTheme="minorHAnsi" w:hAnsiTheme="minorHAnsi" w:cstheme="minorHAnsi"/>
          <w:b/>
          <w:bCs/>
        </w:rPr>
        <w:t>Janusz Cieszyński</w:t>
      </w:r>
    </w:p>
    <w:p w:rsidR="000A71A0" w:rsidRPr="000D2E92" w:rsidRDefault="00FC48B0" w:rsidP="000D2E92">
      <w:pPr>
        <w:ind w:left="4536" w:hanging="141"/>
        <w:contextualSpacing/>
        <w:jc w:val="center"/>
        <w:rPr>
          <w:rFonts w:asciiTheme="minorHAnsi" w:hAnsiTheme="minorHAnsi" w:cstheme="minorHAnsi"/>
          <w:b/>
          <w:bCs/>
        </w:rPr>
      </w:pPr>
      <w:r w:rsidRPr="000D2E92">
        <w:rPr>
          <w:rFonts w:asciiTheme="minorHAnsi" w:hAnsiTheme="minorHAnsi" w:cstheme="minorHAnsi"/>
          <w:b/>
          <w:bCs/>
        </w:rPr>
        <w:t>Sekretarz Stanu</w:t>
      </w:r>
    </w:p>
    <w:p w:rsidR="00EA13E5" w:rsidRPr="000D2E92" w:rsidRDefault="00FC48B0" w:rsidP="000D2E92">
      <w:pPr>
        <w:spacing w:after="120"/>
        <w:ind w:left="4536" w:hanging="141"/>
        <w:jc w:val="center"/>
        <w:rPr>
          <w:rFonts w:asciiTheme="minorHAnsi" w:hAnsiTheme="minorHAnsi" w:cstheme="minorHAnsi"/>
          <w:b/>
          <w:bCs/>
        </w:rPr>
      </w:pPr>
      <w:r w:rsidRPr="000D2E92">
        <w:rPr>
          <w:rFonts w:asciiTheme="minorHAnsi" w:hAnsiTheme="minorHAnsi" w:cstheme="minorHAnsi"/>
          <w:b/>
          <w:bCs/>
        </w:rPr>
        <w:t>w Kancelarii Prezesa Rady Ministrów</w:t>
      </w:r>
    </w:p>
    <w:p w:rsidR="00FE075C" w:rsidRPr="000D2E92" w:rsidRDefault="00FC48B0" w:rsidP="000D2E92">
      <w:pPr>
        <w:ind w:left="4536" w:hanging="141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D2E92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:rsidR="00FE075C" w:rsidRPr="004A6AF3" w:rsidRDefault="00FE075C" w:rsidP="000D2E92">
      <w:pPr>
        <w:ind w:left="4536" w:hanging="141"/>
        <w:contextualSpacing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A6AF3">
        <w:rPr>
          <w:rFonts w:asciiTheme="minorHAnsi" w:hAnsiTheme="minorHAnsi" w:cstheme="minorHAnsi"/>
          <w:i/>
          <w:sz w:val="22"/>
          <w:szCs w:val="22"/>
        </w:rPr>
        <w:br w:type="page"/>
      </w:r>
    </w:p>
    <w:tbl>
      <w:tblPr>
        <w:tblW w:w="1070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1177"/>
        <w:gridCol w:w="1717"/>
        <w:gridCol w:w="4252"/>
        <w:gridCol w:w="3044"/>
      </w:tblGrid>
      <w:tr w:rsidR="008A5DE1" w:rsidRPr="002A6C49" w:rsidTr="00FC3BEC">
        <w:tc>
          <w:tcPr>
            <w:tcW w:w="10701" w:type="dxa"/>
            <w:gridSpan w:val="5"/>
            <w:shd w:val="clear" w:color="auto" w:fill="auto"/>
            <w:vAlign w:val="center"/>
          </w:tcPr>
          <w:p w:rsidR="00FC3BEC" w:rsidRDefault="00FE2379" w:rsidP="00FC3BEC">
            <w:pPr>
              <w:contextualSpacing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Nazwa dokumentu:</w:t>
            </w:r>
            <w:r w:rsidRPr="002A6C49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 </w:t>
            </w:r>
          </w:p>
          <w:p w:rsidR="00FE2379" w:rsidRPr="002A6C49" w:rsidRDefault="00FC3BEC" w:rsidP="00FC3BEC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projekt</w:t>
            </w:r>
            <w:r w:rsidR="008040B4" w:rsidRPr="002A6C49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 ustawy o zmianie ustawy o cudzoziemcach oraz niektórych innych ustaw (UC87)</w:t>
            </w:r>
          </w:p>
        </w:tc>
      </w:tr>
      <w:tr w:rsidR="008A5DE1" w:rsidRPr="002A6C49" w:rsidTr="00FC3BEC">
        <w:tc>
          <w:tcPr>
            <w:tcW w:w="0" w:type="auto"/>
            <w:shd w:val="clear" w:color="auto" w:fill="auto"/>
            <w:vAlign w:val="center"/>
          </w:tcPr>
          <w:p w:rsidR="00107F2C" w:rsidRPr="002A6C49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7F2C" w:rsidRPr="002A6C49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Organ wnoszący uwagi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7F2C" w:rsidRPr="002A6C49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Jednostka redakcyjna, do której wnoszone są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07F2C" w:rsidRPr="002A6C49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Treść uwagi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107F2C" w:rsidRPr="002A6C49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Propozycja zmian zapisu</w:t>
            </w:r>
          </w:p>
        </w:tc>
      </w:tr>
      <w:tr w:rsidR="00FC2388" w:rsidRPr="002A6C49" w:rsidTr="00FC3BEC">
        <w:tc>
          <w:tcPr>
            <w:tcW w:w="0" w:type="auto"/>
            <w:shd w:val="clear" w:color="auto" w:fill="auto"/>
            <w:vAlign w:val="center"/>
          </w:tcPr>
          <w:p w:rsidR="00FC2388" w:rsidRPr="002A6C49" w:rsidRDefault="00FC2388" w:rsidP="004A6AF3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2388" w:rsidRPr="002A6C49" w:rsidRDefault="00FC2388" w:rsidP="00FC3BEC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MC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2388" w:rsidRPr="002A6C49" w:rsidRDefault="00FC2388" w:rsidP="00FC3BEC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art. 1 pkt 5 ustawy nowelizującej, który dodaje art. 15 b do ustawy o cudzoziemcach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C2388" w:rsidRPr="002A6C49" w:rsidRDefault="00FC2388" w:rsidP="00FC3BEC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lang w:eastAsia="en-US"/>
              </w:rPr>
              <w:t xml:space="preserve">Pierwotna wersja tego przepisu odwoływała się tylko do jednego aspektu </w:t>
            </w:r>
            <w:r w:rsidR="000044E2" w:rsidRPr="002A6C49">
              <w:rPr>
                <w:rFonts w:asciiTheme="minorHAnsi" w:eastAsia="Calibri" w:hAnsiTheme="minorHAnsi" w:cstheme="minorHAnsi"/>
                <w:lang w:eastAsia="en-US"/>
              </w:rPr>
              <w:t xml:space="preserve">–cyberbezpieczeństwa </w:t>
            </w:r>
            <w:r w:rsidRPr="002A6C49">
              <w:rPr>
                <w:rFonts w:asciiTheme="minorHAnsi" w:eastAsia="Calibri" w:hAnsiTheme="minorHAnsi" w:cstheme="minorHAnsi"/>
                <w:lang w:eastAsia="en-US"/>
              </w:rPr>
              <w:t xml:space="preserve">systemów informacyjnych i zgromadzonych w nim danych tj. dostępności. </w:t>
            </w:r>
            <w:r w:rsidR="000044E2" w:rsidRPr="002A6C49">
              <w:rPr>
                <w:rFonts w:asciiTheme="minorHAnsi" w:eastAsia="Calibri" w:hAnsiTheme="minorHAnsi" w:cstheme="minorHAnsi"/>
                <w:lang w:eastAsia="en-US"/>
              </w:rPr>
              <w:t>Wydaje się, że</w:t>
            </w:r>
            <w:r w:rsidRPr="002A6C49">
              <w:rPr>
                <w:rFonts w:asciiTheme="minorHAnsi" w:eastAsia="Calibri" w:hAnsiTheme="minorHAnsi" w:cstheme="minorHAnsi"/>
                <w:lang w:eastAsia="en-US"/>
              </w:rPr>
              <w:t xml:space="preserve"> jest to niewystarczają</w:t>
            </w:r>
            <w:r w:rsidR="00FC3BEC">
              <w:rPr>
                <w:rFonts w:asciiTheme="minorHAnsi" w:eastAsia="Calibri" w:hAnsiTheme="minorHAnsi" w:cstheme="minorHAnsi"/>
                <w:lang w:eastAsia="en-US"/>
              </w:rPr>
              <w:t xml:space="preserve">ce i powinno zostać zastąpione </w:t>
            </w:r>
            <w:r w:rsidRPr="002A6C49">
              <w:rPr>
                <w:rFonts w:asciiTheme="minorHAnsi" w:eastAsia="Calibri" w:hAnsiTheme="minorHAnsi" w:cstheme="minorHAnsi"/>
                <w:lang w:eastAsia="en-US"/>
              </w:rPr>
              <w:t>przez odwołanie do wszystkich aspektów cyberbezpieczeństwa. Sama w sobie dostępność danych niewiele oznacza, jeśli dane te, nie są równocześnie poufne i autentyczne. Dlatego też, jeśli już zdecydowano się na określenie stosowanych zabezpieczeń, powinny one zapewniać nie tylko samą dostępność.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FC3BEC" w:rsidRDefault="000044E2" w:rsidP="00FC3BEC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lang w:eastAsia="en-US"/>
              </w:rPr>
              <w:t>W art. 1 pkt 5 ustawy nowelizującej, który dodaje art. 15</w:t>
            </w:r>
            <w:r w:rsidR="00FC3BEC">
              <w:rPr>
                <w:rFonts w:asciiTheme="minorHAnsi" w:eastAsia="Calibri" w:hAnsiTheme="minorHAnsi" w:cstheme="minorHAnsi"/>
                <w:lang w:eastAsia="en-US"/>
              </w:rPr>
              <w:t xml:space="preserve">b do ustawy o cudzoziemcach, proponuje się </w:t>
            </w:r>
            <w:r w:rsidRPr="002A6C49">
              <w:rPr>
                <w:rFonts w:asciiTheme="minorHAnsi" w:eastAsia="Calibri" w:hAnsiTheme="minorHAnsi" w:cstheme="minorHAnsi"/>
                <w:lang w:eastAsia="en-US"/>
              </w:rPr>
              <w:t>nowe brzmienie ust. 1 pkt 2 tego przepisu</w:t>
            </w:r>
            <w:r w:rsidR="00FC2388" w:rsidRPr="002A6C49">
              <w:rPr>
                <w:rFonts w:asciiTheme="minorHAnsi" w:eastAsia="Calibri" w:hAnsiTheme="minorHAnsi" w:cstheme="minorHAnsi"/>
                <w:lang w:eastAsia="en-US"/>
              </w:rPr>
              <w:t>:</w:t>
            </w:r>
          </w:p>
          <w:p w:rsidR="00FC2388" w:rsidRPr="00FC3BEC" w:rsidRDefault="00FC2388" w:rsidP="00FC3BEC">
            <w:pPr>
              <w:contextualSpacing/>
              <w:rPr>
                <w:rFonts w:asciiTheme="minorHAnsi" w:eastAsia="Calibri" w:hAnsiTheme="minorHAnsi" w:cstheme="minorHAnsi"/>
                <w:i/>
                <w:lang w:eastAsia="en-US"/>
              </w:rPr>
            </w:pPr>
            <w:r w:rsidRPr="00FC3BEC">
              <w:rPr>
                <w:rFonts w:asciiTheme="minorHAnsi" w:eastAsia="Calibri" w:hAnsiTheme="minorHAnsi" w:cstheme="minorHAnsi"/>
                <w:i/>
                <w:lang w:eastAsia="en-US"/>
              </w:rPr>
              <w:t>„Szef Urzędu do Spraw Cudzoziemców oraz wojewoda posiadają i stosują zabezpieczenia techniczne i organizacyjne zapewniające poufność</w:t>
            </w:r>
            <w:r w:rsidR="000044E2" w:rsidRPr="00FC3BEC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, </w:t>
            </w:r>
            <w:r w:rsidRPr="00FC3BEC">
              <w:rPr>
                <w:rFonts w:asciiTheme="minorHAnsi" w:eastAsia="Calibri" w:hAnsiTheme="minorHAnsi" w:cstheme="minorHAnsi"/>
                <w:i/>
                <w:lang w:eastAsia="en-US"/>
              </w:rPr>
              <w:t>integralność, dostępność i autentyczność</w:t>
            </w:r>
            <w:r w:rsidR="000044E2" w:rsidRPr="00FC3BEC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 </w:t>
            </w:r>
            <w:r w:rsidRPr="00FC3BEC">
              <w:rPr>
                <w:rFonts w:asciiTheme="minorHAnsi" w:eastAsia="Calibri" w:hAnsiTheme="minorHAnsi" w:cstheme="minorHAnsi"/>
                <w:i/>
                <w:lang w:eastAsia="en-US"/>
              </w:rPr>
              <w:t>przetwarzanych danych</w:t>
            </w:r>
            <w:r w:rsidR="00FC3BEC">
              <w:rPr>
                <w:rFonts w:asciiTheme="minorHAnsi" w:eastAsia="Calibri" w:hAnsiTheme="minorHAnsi" w:cstheme="minorHAnsi"/>
                <w:i/>
                <w:lang w:eastAsia="en-US"/>
              </w:rPr>
              <w:t>.</w:t>
            </w:r>
            <w:r w:rsidRPr="00FC3BEC">
              <w:rPr>
                <w:rFonts w:asciiTheme="minorHAnsi" w:eastAsia="Calibri" w:hAnsiTheme="minorHAnsi" w:cstheme="minorHAnsi"/>
                <w:i/>
                <w:lang w:eastAsia="en-US"/>
              </w:rPr>
              <w:t>”</w:t>
            </w:r>
          </w:p>
        </w:tc>
      </w:tr>
      <w:tr w:rsidR="00FC2388" w:rsidRPr="002A6C49" w:rsidTr="00FC3BEC">
        <w:tc>
          <w:tcPr>
            <w:tcW w:w="0" w:type="auto"/>
            <w:shd w:val="clear" w:color="auto" w:fill="auto"/>
            <w:vAlign w:val="center"/>
          </w:tcPr>
          <w:p w:rsidR="00FC2388" w:rsidRPr="002A6C49" w:rsidRDefault="00FC2388" w:rsidP="004A6AF3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2388" w:rsidRPr="002A6C49" w:rsidRDefault="00FC2388" w:rsidP="00FC3BEC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MC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2388" w:rsidRPr="002A6C49" w:rsidRDefault="00FC2388" w:rsidP="00FC3BEC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art. 1 pkt 32 ustawy nowelizującej zmieniającym brzmienie art. 296 w ust. 1 w pkt 2 lit. a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C2388" w:rsidRPr="002A6C49" w:rsidRDefault="00FC2388" w:rsidP="00FC3BEC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lang w:eastAsia="en-US"/>
              </w:rPr>
              <w:t xml:space="preserve">Poprzednia wersja przepisu mówiła o „urządzeniu umożliwiającym bezpośrednio odnotowanie tego faktu w systemie teleinformatycznym”. Tego typu sformułowanie może rodzić pewne wątpliwości. W szczególności, co oznacza w tym zdaniu wyrażenie  „bezpośrednio”. Istotą tego przepisu wydaje się być odnotowanie kontroli we właściwym Systemie </w:t>
            </w:r>
          </w:p>
          <w:p w:rsidR="00FC2388" w:rsidRPr="002A6C49" w:rsidRDefault="00FC2388" w:rsidP="00FC3BEC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lang w:eastAsia="en-US"/>
              </w:rPr>
              <w:t xml:space="preserve">teleinformatycznym, a samo urządzenie, za pośrednictwem którego to nastąpi, nie ma tu znaczenia. Dlatego, sugeruje </w:t>
            </w:r>
            <w:r w:rsidR="000044E2" w:rsidRPr="002A6C49">
              <w:rPr>
                <w:rFonts w:asciiTheme="minorHAnsi" w:eastAsia="Calibri" w:hAnsiTheme="minorHAnsi" w:cstheme="minorHAnsi"/>
                <w:lang w:eastAsia="en-US"/>
              </w:rPr>
              <w:t xml:space="preserve">się </w:t>
            </w:r>
            <w:r w:rsidRPr="002A6C49">
              <w:rPr>
                <w:rFonts w:asciiTheme="minorHAnsi" w:eastAsia="Calibri" w:hAnsiTheme="minorHAnsi" w:cstheme="minorHAnsi"/>
                <w:lang w:eastAsia="en-US"/>
              </w:rPr>
              <w:t>uprościć ten przepis, poprzez usunięcie odwołania do urządzenia, za pomocą którego ten fakt miał być odnotowywany.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FC2388" w:rsidRPr="002A6C49" w:rsidRDefault="00FC2388" w:rsidP="00FC3BEC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lang w:eastAsia="en-US"/>
              </w:rPr>
              <w:t>W art</w:t>
            </w:r>
            <w:r w:rsidR="000D2458" w:rsidRPr="002A6C49">
              <w:rPr>
                <w:rFonts w:asciiTheme="minorHAnsi" w:eastAsia="Calibri" w:hAnsiTheme="minorHAnsi" w:cstheme="minorHAnsi"/>
                <w:lang w:eastAsia="en-US"/>
              </w:rPr>
              <w:t xml:space="preserve">. 1 pkt 32 ustawy nowelizującej </w:t>
            </w:r>
            <w:r w:rsidRPr="002A6C49">
              <w:rPr>
                <w:rFonts w:asciiTheme="minorHAnsi" w:eastAsia="Calibri" w:hAnsiTheme="minorHAnsi" w:cstheme="minorHAnsi"/>
                <w:lang w:eastAsia="en-US"/>
              </w:rPr>
              <w:t>zmieniającym brzmienie art. 296 ust. 1 pkt 2 lit. a ustawy o cudzoziemcach</w:t>
            </w:r>
            <w:r w:rsidR="00FC3BEC">
              <w:rPr>
                <w:rFonts w:asciiTheme="minorHAnsi" w:eastAsia="Calibri" w:hAnsiTheme="minorHAnsi" w:cstheme="minorHAnsi"/>
                <w:lang w:eastAsia="en-US"/>
              </w:rPr>
              <w:t>,</w:t>
            </w:r>
            <w:r w:rsidRPr="002A6C49">
              <w:rPr>
                <w:rFonts w:asciiTheme="minorHAnsi" w:eastAsia="Calibri" w:hAnsiTheme="minorHAnsi" w:cstheme="minorHAnsi"/>
                <w:lang w:eastAsia="en-US"/>
              </w:rPr>
              <w:t xml:space="preserve"> proponuje się nowe brzmienie tego przepisu:</w:t>
            </w:r>
          </w:p>
          <w:p w:rsidR="00FC2388" w:rsidRPr="00FC3BEC" w:rsidRDefault="000D2458" w:rsidP="00FC3BEC">
            <w:pPr>
              <w:contextualSpacing/>
              <w:rPr>
                <w:rFonts w:asciiTheme="minorHAnsi" w:eastAsia="Calibri" w:hAnsiTheme="minorHAnsi" w:cstheme="minorHAnsi"/>
                <w:i/>
                <w:lang w:eastAsia="en-US"/>
              </w:rPr>
            </w:pPr>
            <w:r w:rsidRPr="00FC3BEC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„a) funkcjonariusz odnotowuje fakt </w:t>
            </w:r>
            <w:r w:rsidR="00FC2388" w:rsidRPr="00FC3BEC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przeprowadzenia kontroli w notatniku służbowym lub </w:t>
            </w:r>
            <w:r w:rsidRPr="00FC3BEC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we właściwym systemie </w:t>
            </w:r>
            <w:r w:rsidR="00FC2388" w:rsidRPr="00FC3BEC">
              <w:rPr>
                <w:rFonts w:asciiTheme="minorHAnsi" w:eastAsia="Calibri" w:hAnsiTheme="minorHAnsi" w:cstheme="minorHAnsi"/>
                <w:i/>
                <w:lang w:eastAsia="en-US"/>
              </w:rPr>
              <w:t>teleinformatycznym lub sporządza notatkę służbową,”</w:t>
            </w:r>
          </w:p>
        </w:tc>
      </w:tr>
      <w:tr w:rsidR="00D7290C" w:rsidRPr="002A6C49" w:rsidTr="00FC3BEC">
        <w:tc>
          <w:tcPr>
            <w:tcW w:w="0" w:type="auto"/>
            <w:shd w:val="clear" w:color="auto" w:fill="auto"/>
            <w:vAlign w:val="center"/>
          </w:tcPr>
          <w:p w:rsidR="00D7290C" w:rsidRPr="002A6C49" w:rsidRDefault="00FC2388" w:rsidP="00FC2388">
            <w:pPr>
              <w:contextualSpacing/>
              <w:jc w:val="both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3</w:t>
            </w:r>
            <w:r w:rsidR="00EF220B" w:rsidRPr="002A6C49">
              <w:rPr>
                <w:rFonts w:asciiTheme="minorHAnsi" w:eastAsia="Calibri" w:hAnsiTheme="minorHAnsi" w:cstheme="minorHAnsi"/>
                <w:b/>
                <w:lang w:eastAsia="en-U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7290C" w:rsidRPr="002A6C49" w:rsidRDefault="00D7290C" w:rsidP="00FC3BEC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MC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7290C" w:rsidRPr="002A6C49" w:rsidRDefault="008040B4" w:rsidP="00FC3BEC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b/>
                <w:lang w:eastAsia="en-US"/>
              </w:rPr>
              <w:t>OSR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290C" w:rsidRPr="002A6C49" w:rsidRDefault="008040B4" w:rsidP="00FC3BEC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 w:rsidRPr="002A6C49">
              <w:rPr>
                <w:rFonts w:asciiTheme="minorHAnsi" w:eastAsia="Calibri" w:hAnsiTheme="minorHAnsi" w:cstheme="minorHAnsi"/>
                <w:lang w:eastAsia="en-US"/>
              </w:rPr>
              <w:t>W OSR w zestawieniu tabelarycznym zamieszczonym w pkt 6 „Wpływ na sektor finansów publicznych” należy również wykazać wydatki związane z wejściem w życie regulacji. Ponadto w pkt 6 OSR w części „Źródła finansowania” wskazano „Budżet państwa” bardzo ogólnie, należy wskazać szczegółowo źródło finansowania.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7290C" w:rsidRPr="002A6C49" w:rsidRDefault="00D7290C" w:rsidP="00FC3BEC">
            <w:p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</w:tbl>
    <w:p w:rsidR="00FE2379" w:rsidRPr="002A6C49" w:rsidRDefault="00FE2379" w:rsidP="002A6C49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  <w:bookmarkStart w:id="0" w:name="_GoBack"/>
      <w:bookmarkEnd w:id="0"/>
    </w:p>
    <w:sectPr w:rsidR="00FE2379" w:rsidRPr="002A6C49" w:rsidSect="00FC3BEC">
      <w:footerReference w:type="default" r:id="rId7"/>
      <w:headerReference w:type="first" r:id="rId8"/>
      <w:footerReference w:type="first" r:id="rId9"/>
      <w:pgSz w:w="11906" w:h="16838" w:code="9"/>
      <w:pgMar w:top="709" w:right="1418" w:bottom="567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A95" w:rsidRDefault="00F94A95">
      <w:r>
        <w:separator/>
      </w:r>
    </w:p>
  </w:endnote>
  <w:endnote w:type="continuationSeparator" w:id="0">
    <w:p w:rsidR="00F94A95" w:rsidRDefault="00F9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FC48B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FC48B0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FC48B0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FC48B0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17" name="Obraz 17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A95" w:rsidRDefault="00F94A95">
      <w:r>
        <w:separator/>
      </w:r>
    </w:p>
  </w:footnote>
  <w:footnote w:type="continuationSeparator" w:id="0">
    <w:p w:rsidR="00F94A95" w:rsidRDefault="00F94A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F94A95" w:rsidP="007018D3">
    <w:pPr>
      <w:pStyle w:val="Nagwek"/>
      <w:jc w:val="right"/>
    </w:pPr>
  </w:p>
  <w:p w:rsidR="007018D3" w:rsidRDefault="00F94A95" w:rsidP="007018D3">
    <w:pPr>
      <w:pStyle w:val="Nagwek"/>
      <w:jc w:val="right"/>
    </w:pPr>
  </w:p>
  <w:p w:rsidR="004633D0" w:rsidRPr="00FE075C" w:rsidRDefault="00FC48B0" w:rsidP="00404F0E">
    <w:pPr>
      <w:pStyle w:val="Nagwek"/>
      <w:jc w:val="right"/>
      <w:rPr>
        <w:rFonts w:asciiTheme="minorHAnsi" w:hAnsiTheme="minorHAnsi" w:cstheme="minorHAnsi"/>
      </w:rPr>
    </w:pPr>
    <w:r w:rsidRPr="00FE075C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8040B4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8040B4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DRC.WLA.0641.246.2021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8040B4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8040B4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DRC.WLA.0641.246.2021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FE075C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FC48B0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FC48B0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FE075C">
      <w:rPr>
        <w:rFonts w:asciiTheme="minorHAnsi" w:hAnsiTheme="minorHAnsi" w:cstheme="minorHAnsi"/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6" name="Obraz 16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E075C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2A6C49">
      <w:rPr>
        <w:rFonts w:asciiTheme="minorHAnsi" w:hAnsiTheme="minorHAnsi" w:cstheme="minorHAnsi"/>
      </w:rPr>
      <w:t>22</w:t>
    </w:r>
    <w:r w:rsidR="00FE075C" w:rsidRPr="00FE075C">
      <w:rPr>
        <w:rFonts w:asciiTheme="minorHAnsi" w:hAnsiTheme="minorHAnsi" w:cstheme="minorHAnsi"/>
      </w:rPr>
      <w:t xml:space="preserve"> </w:t>
    </w:r>
    <w:r w:rsidR="008040B4">
      <w:rPr>
        <w:rFonts w:asciiTheme="minorHAnsi" w:hAnsiTheme="minorHAnsi" w:cstheme="minorHAnsi"/>
      </w:rPr>
      <w:t>października</w:t>
    </w:r>
    <w:r w:rsidR="00FE075C" w:rsidRPr="00FE075C">
      <w:rPr>
        <w:rFonts w:asciiTheme="minorHAnsi" w:hAnsiTheme="minorHAnsi" w:cstheme="minorHAnsi"/>
      </w:rPr>
      <w:t xml:space="preserve"> 2021 </w:t>
    </w:r>
    <w:r w:rsidRPr="00FE075C">
      <w:rPr>
        <w:rFonts w:asciiTheme="minorHAnsi" w:hAnsiTheme="minorHAnsi" w:cstheme="minorHAnsi"/>
      </w:rPr>
      <w:t>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06F"/>
    <w:rsid w:val="000044E2"/>
    <w:rsid w:val="00016A6E"/>
    <w:rsid w:val="00026DC0"/>
    <w:rsid w:val="00031C5A"/>
    <w:rsid w:val="00043DD3"/>
    <w:rsid w:val="00065442"/>
    <w:rsid w:val="00097381"/>
    <w:rsid w:val="00097F3E"/>
    <w:rsid w:val="000A0579"/>
    <w:rsid w:val="000A40A5"/>
    <w:rsid w:val="000C707D"/>
    <w:rsid w:val="000D2458"/>
    <w:rsid w:val="000D2E92"/>
    <w:rsid w:val="000F152A"/>
    <w:rsid w:val="001075C1"/>
    <w:rsid w:val="00107F2C"/>
    <w:rsid w:val="00194315"/>
    <w:rsid w:val="002108F4"/>
    <w:rsid w:val="00212276"/>
    <w:rsid w:val="00240A8E"/>
    <w:rsid w:val="00256611"/>
    <w:rsid w:val="002956B8"/>
    <w:rsid w:val="002A6C49"/>
    <w:rsid w:val="002B6B7E"/>
    <w:rsid w:val="002C6B4B"/>
    <w:rsid w:val="002E65D2"/>
    <w:rsid w:val="00340011"/>
    <w:rsid w:val="00446A6E"/>
    <w:rsid w:val="004A6AF3"/>
    <w:rsid w:val="004C3A89"/>
    <w:rsid w:val="004E2243"/>
    <w:rsid w:val="0052236F"/>
    <w:rsid w:val="00540BF3"/>
    <w:rsid w:val="00560B83"/>
    <w:rsid w:val="00574446"/>
    <w:rsid w:val="00593FB1"/>
    <w:rsid w:val="005B4D3D"/>
    <w:rsid w:val="006E4421"/>
    <w:rsid w:val="0072231E"/>
    <w:rsid w:val="00727BE9"/>
    <w:rsid w:val="00784ADC"/>
    <w:rsid w:val="00797907"/>
    <w:rsid w:val="007B2C96"/>
    <w:rsid w:val="007F3E56"/>
    <w:rsid w:val="008040B4"/>
    <w:rsid w:val="00845FEA"/>
    <w:rsid w:val="00862F93"/>
    <w:rsid w:val="008A5DE1"/>
    <w:rsid w:val="008E32BA"/>
    <w:rsid w:val="00930A4A"/>
    <w:rsid w:val="00933FE3"/>
    <w:rsid w:val="009C592A"/>
    <w:rsid w:val="00A70025"/>
    <w:rsid w:val="00AA3815"/>
    <w:rsid w:val="00AE79F3"/>
    <w:rsid w:val="00B001F4"/>
    <w:rsid w:val="00B06E2A"/>
    <w:rsid w:val="00B24B6E"/>
    <w:rsid w:val="00B67265"/>
    <w:rsid w:val="00B75B48"/>
    <w:rsid w:val="00B8106F"/>
    <w:rsid w:val="00BA006A"/>
    <w:rsid w:val="00D02141"/>
    <w:rsid w:val="00D061F2"/>
    <w:rsid w:val="00D10B48"/>
    <w:rsid w:val="00D55C03"/>
    <w:rsid w:val="00D7044B"/>
    <w:rsid w:val="00D7290C"/>
    <w:rsid w:val="00DA6E3F"/>
    <w:rsid w:val="00DB333D"/>
    <w:rsid w:val="00DE2F24"/>
    <w:rsid w:val="00DF0AC1"/>
    <w:rsid w:val="00DF723D"/>
    <w:rsid w:val="00E10196"/>
    <w:rsid w:val="00E119AB"/>
    <w:rsid w:val="00E44707"/>
    <w:rsid w:val="00EA3168"/>
    <w:rsid w:val="00EF220B"/>
    <w:rsid w:val="00F04D2D"/>
    <w:rsid w:val="00F94A95"/>
    <w:rsid w:val="00FB252B"/>
    <w:rsid w:val="00FC2388"/>
    <w:rsid w:val="00FC3BEC"/>
    <w:rsid w:val="00FC48B0"/>
    <w:rsid w:val="00FE075C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486F2-D28E-4560-9FDF-C62EC67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7F3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BA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basedOn w:val="Domylnaczcionkaakapitu"/>
    <w:uiPriority w:val="1"/>
    <w:qFormat/>
    <w:rsid w:val="00845FEA"/>
    <w:rPr>
      <w:b/>
    </w:rPr>
  </w:style>
  <w:style w:type="paragraph" w:customStyle="1" w:styleId="USTustnpkodeksu">
    <w:name w:val="UST(§) – ust. (§ np. kodeksu)"/>
    <w:basedOn w:val="Normalny"/>
    <w:uiPriority w:val="12"/>
    <w:qFormat/>
    <w:rsid w:val="00845FEA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845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45FEA"/>
    <w:pPr>
      <w:widowControl w:val="0"/>
      <w:autoSpaceDE w:val="0"/>
      <w:autoSpaceDN w:val="0"/>
      <w:adjustRightInd w:val="0"/>
      <w:spacing w:line="360" w:lineRule="auto"/>
    </w:pPr>
    <w:rPr>
      <w:rFonts w:ascii="Times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5FEA"/>
    <w:rPr>
      <w:rFonts w:ascii="Times" w:hAnsi="Time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8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6AC56-662E-4F9C-891D-09BE4260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30</TotalTime>
  <Pages>1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10</cp:revision>
  <dcterms:created xsi:type="dcterms:W3CDTF">2021-10-22T10:11:00Z</dcterms:created>
  <dcterms:modified xsi:type="dcterms:W3CDTF">2021-10-22T14:02:00Z</dcterms:modified>
</cp:coreProperties>
</file>